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75F" w:rsidRDefault="00E7175F" w:rsidP="00E7175F">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7175F" w:rsidRDefault="00E7175F" w:rsidP="00E7175F">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E7175F" w:rsidRDefault="00E7175F" w:rsidP="00E7175F">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E7175F" w:rsidRDefault="00E7175F" w:rsidP="00E7175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7175F" w:rsidRDefault="00E7175F" w:rsidP="00E7175F">
      <w:pPr>
        <w:spacing w:line="480" w:lineRule="auto"/>
        <w:rPr>
          <w:rFonts w:ascii="Times New Roman" w:hAnsi="Times New Roman" w:cs="Times New Roman"/>
          <w:sz w:val="24"/>
          <w:szCs w:val="24"/>
        </w:rPr>
      </w:pPr>
      <w:r>
        <w:rPr>
          <w:rFonts w:ascii="Times New Roman" w:hAnsi="Times New Roman" w:cs="Times New Roman"/>
          <w:sz w:val="24"/>
          <w:szCs w:val="24"/>
        </w:rPr>
        <w:t xml:space="preserve">Response to </w:t>
      </w:r>
      <w:r w:rsidRPr="00E7175F">
        <w:rPr>
          <w:rFonts w:ascii="Times New Roman" w:hAnsi="Times New Roman" w:cs="Times New Roman"/>
          <w:sz w:val="24"/>
          <w:szCs w:val="24"/>
        </w:rPr>
        <w:t xml:space="preserve">The Hudson’s Bay Company in </w:t>
      </w:r>
      <w:proofErr w:type="spellStart"/>
      <w:r w:rsidRPr="00E7175F">
        <w:rPr>
          <w:rFonts w:ascii="Times New Roman" w:hAnsi="Times New Roman" w:cs="Times New Roman"/>
          <w:sz w:val="24"/>
          <w:szCs w:val="24"/>
        </w:rPr>
        <w:t>Barkerville</w:t>
      </w:r>
      <w:proofErr w:type="spellEnd"/>
      <w:r>
        <w:rPr>
          <w:rFonts w:ascii="Times New Roman" w:hAnsi="Times New Roman" w:cs="Times New Roman"/>
          <w:sz w:val="24"/>
          <w:szCs w:val="24"/>
        </w:rPr>
        <w:t xml:space="preserve"> a</w:t>
      </w:r>
      <w:bookmarkStart w:id="0" w:name="_GoBack"/>
      <w:r>
        <w:rPr>
          <w:rFonts w:ascii="Times New Roman" w:hAnsi="Times New Roman" w:cs="Times New Roman"/>
          <w:sz w:val="24"/>
          <w:szCs w:val="24"/>
        </w:rPr>
        <w:t xml:space="preserve">rticle </w:t>
      </w:r>
      <w:bookmarkEnd w:id="0"/>
    </w:p>
    <w:p w:rsidR="00AB0CD3" w:rsidRPr="00E7175F" w:rsidRDefault="00AB0CD3"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 xml:space="preserve">9 Lorraine Harris, </w:t>
      </w:r>
      <w:proofErr w:type="spellStart"/>
      <w:r w:rsidRPr="00E7175F">
        <w:rPr>
          <w:rFonts w:ascii="Times New Roman" w:hAnsi="Times New Roman" w:cs="Times New Roman"/>
          <w:i/>
          <w:iCs/>
          <w:sz w:val="24"/>
          <w:szCs w:val="24"/>
        </w:rPr>
        <w:t>Barkerville</w:t>
      </w:r>
      <w:proofErr w:type="spellEnd"/>
      <w:r w:rsidRPr="00E7175F">
        <w:rPr>
          <w:rFonts w:ascii="Times New Roman" w:hAnsi="Times New Roman" w:cs="Times New Roman"/>
          <w:i/>
          <w:iCs/>
          <w:sz w:val="24"/>
          <w:szCs w:val="24"/>
        </w:rPr>
        <w:t xml:space="preserve">: The Town That Gold Built </w:t>
      </w:r>
      <w:r w:rsidRPr="00E7175F">
        <w:rPr>
          <w:rFonts w:ascii="Times New Roman" w:hAnsi="Times New Roman" w:cs="Times New Roman"/>
          <w:sz w:val="24"/>
          <w:szCs w:val="24"/>
        </w:rPr>
        <w:t xml:space="preserve">(Surrey: Hancock House, 1984), 26; Robert M. Galois and R. Cole Harris, “The Gold Rushes in British Columbia, 1858-1881,” in </w:t>
      </w:r>
      <w:r w:rsidRPr="00E7175F">
        <w:rPr>
          <w:rFonts w:ascii="Times New Roman" w:hAnsi="Times New Roman" w:cs="Times New Roman"/>
          <w:i/>
          <w:iCs/>
          <w:sz w:val="24"/>
          <w:szCs w:val="24"/>
        </w:rPr>
        <w:t>Historical Atlas of Canada</w:t>
      </w:r>
      <w:r w:rsidRPr="00E7175F">
        <w:rPr>
          <w:rFonts w:ascii="Times New Roman" w:hAnsi="Times New Roman" w:cs="Times New Roman"/>
          <w:sz w:val="24"/>
          <w:szCs w:val="24"/>
        </w:rPr>
        <w:t xml:space="preserve">. Vol. 2: </w:t>
      </w:r>
      <w:r w:rsidRPr="00E7175F">
        <w:rPr>
          <w:rFonts w:ascii="Times New Roman" w:hAnsi="Times New Roman" w:cs="Times New Roman"/>
          <w:i/>
          <w:iCs/>
          <w:sz w:val="24"/>
          <w:szCs w:val="24"/>
        </w:rPr>
        <w:t>The Land Transformed 1800-1891</w:t>
      </w:r>
      <w:r w:rsidRPr="00E7175F">
        <w:rPr>
          <w:rFonts w:ascii="Times New Roman" w:hAnsi="Times New Roman" w:cs="Times New Roman"/>
          <w:sz w:val="24"/>
          <w:szCs w:val="24"/>
        </w:rPr>
        <w:t xml:space="preserve">, ed. R. Louis </w:t>
      </w:r>
      <w:proofErr w:type="spellStart"/>
      <w:r w:rsidRPr="00E7175F">
        <w:rPr>
          <w:rFonts w:ascii="Times New Roman" w:hAnsi="Times New Roman" w:cs="Times New Roman"/>
          <w:sz w:val="24"/>
          <w:szCs w:val="24"/>
        </w:rPr>
        <w:t>Gentilcore</w:t>
      </w:r>
      <w:proofErr w:type="spellEnd"/>
      <w:r w:rsidRPr="00E7175F">
        <w:rPr>
          <w:rFonts w:ascii="Times New Roman" w:hAnsi="Times New Roman" w:cs="Times New Roman"/>
          <w:sz w:val="24"/>
          <w:szCs w:val="24"/>
        </w:rPr>
        <w:t xml:space="preserve"> (Toronto: University of Toronto Press, 1993), plate 36. </w:t>
      </w:r>
    </w:p>
    <w:p w:rsidR="00AB0CD3" w:rsidRPr="00E7175F" w:rsidRDefault="00AB0CD3"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 xml:space="preserve">21 </w:t>
      </w:r>
      <w:r w:rsidRPr="00E7175F">
        <w:rPr>
          <w:rFonts w:ascii="Times New Roman" w:hAnsi="Times New Roman" w:cs="Times New Roman"/>
          <w:i/>
          <w:iCs/>
          <w:sz w:val="24"/>
          <w:szCs w:val="24"/>
        </w:rPr>
        <w:t>Cariboo Sentinel</w:t>
      </w:r>
      <w:r w:rsidRPr="00E7175F">
        <w:rPr>
          <w:rFonts w:ascii="Times New Roman" w:hAnsi="Times New Roman" w:cs="Times New Roman"/>
          <w:sz w:val="24"/>
          <w:szCs w:val="24"/>
        </w:rPr>
        <w:t xml:space="preserve">, 24 June 1867. For First Nations packing, see the article by Mica Jorgenson, this volume. </w:t>
      </w:r>
    </w:p>
    <w:p w:rsidR="00AB0CD3" w:rsidRPr="00E7175F" w:rsidRDefault="00AB0CD3"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 xml:space="preserve">56 Ibid., 31 October 1869. See also Elliott, Quesnel, 135. </w:t>
      </w:r>
    </w:p>
    <w:p w:rsidR="00DD2375" w:rsidRPr="00E7175F" w:rsidRDefault="00DD2375"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The listed footprints have very important informat</w:t>
      </w:r>
      <w:r w:rsidR="00E7175F">
        <w:rPr>
          <w:rFonts w:ascii="Times New Roman" w:hAnsi="Times New Roman" w:cs="Times New Roman"/>
          <w:sz w:val="24"/>
          <w:szCs w:val="24"/>
        </w:rPr>
        <w:t xml:space="preserve">ion to the history of </w:t>
      </w:r>
      <w:proofErr w:type="spellStart"/>
      <w:r w:rsidR="00E7175F">
        <w:rPr>
          <w:rFonts w:ascii="Times New Roman" w:hAnsi="Times New Roman" w:cs="Times New Roman"/>
          <w:sz w:val="24"/>
          <w:szCs w:val="24"/>
        </w:rPr>
        <w:t>Barkerville</w:t>
      </w:r>
      <w:proofErr w:type="spellEnd"/>
      <w:r w:rsidRPr="00E7175F">
        <w:rPr>
          <w:rFonts w:ascii="Times New Roman" w:hAnsi="Times New Roman" w:cs="Times New Roman"/>
          <w:sz w:val="24"/>
          <w:szCs w:val="24"/>
        </w:rPr>
        <w:t xml:space="preserve"> and its neighborhoods. First and foremost, footprint 9 gives us the history of the transport networks in Quesnel and around Cariboo which is integral in analyzing mobility of goods, services and people back in the day</w:t>
      </w:r>
      <w:r w:rsidR="00A11C56" w:rsidRPr="00E7175F">
        <w:rPr>
          <w:rFonts w:ascii="Times New Roman" w:hAnsi="Times New Roman" w:cs="Times New Roman"/>
          <w:sz w:val="24"/>
          <w:szCs w:val="24"/>
        </w:rPr>
        <w:t xml:space="preserve"> (Ramona &amp; Boyle 82)</w:t>
      </w:r>
      <w:r w:rsidRPr="00E7175F">
        <w:rPr>
          <w:rFonts w:ascii="Times New Roman" w:hAnsi="Times New Roman" w:cs="Times New Roman"/>
          <w:sz w:val="24"/>
          <w:szCs w:val="24"/>
        </w:rPr>
        <w:t xml:space="preserve">. The information is that the roads were impassable especially </w:t>
      </w:r>
      <w:r w:rsidR="00A11C56" w:rsidRPr="00E7175F">
        <w:rPr>
          <w:rFonts w:ascii="Times New Roman" w:hAnsi="Times New Roman" w:cs="Times New Roman"/>
          <w:sz w:val="24"/>
          <w:szCs w:val="24"/>
        </w:rPr>
        <w:t>during the wet weather seasons 21 sh</w:t>
      </w:r>
      <w:r w:rsidRPr="00E7175F">
        <w:rPr>
          <w:rFonts w:ascii="Times New Roman" w:hAnsi="Times New Roman" w:cs="Times New Roman"/>
          <w:sz w:val="24"/>
          <w:szCs w:val="24"/>
        </w:rPr>
        <w:t>ows</w:t>
      </w:r>
      <w:r w:rsidR="00A11C56" w:rsidRPr="00E7175F">
        <w:rPr>
          <w:rFonts w:ascii="Times New Roman" w:hAnsi="Times New Roman" w:cs="Times New Roman"/>
          <w:sz w:val="24"/>
          <w:szCs w:val="24"/>
        </w:rPr>
        <w:t xml:space="preserve"> </w:t>
      </w:r>
      <w:r w:rsidRPr="00E7175F">
        <w:rPr>
          <w:rFonts w:ascii="Times New Roman" w:hAnsi="Times New Roman" w:cs="Times New Roman"/>
          <w:sz w:val="24"/>
          <w:szCs w:val="24"/>
        </w:rPr>
        <w:t>the</w:t>
      </w:r>
      <w:r w:rsidR="00A11C56" w:rsidRPr="00E7175F">
        <w:rPr>
          <w:rFonts w:ascii="Times New Roman" w:hAnsi="Times New Roman" w:cs="Times New Roman"/>
          <w:sz w:val="24"/>
          <w:szCs w:val="24"/>
        </w:rPr>
        <w:t xml:space="preserve"> </w:t>
      </w:r>
      <w:r w:rsidRPr="00E7175F">
        <w:rPr>
          <w:rFonts w:ascii="Times New Roman" w:hAnsi="Times New Roman" w:cs="Times New Roman"/>
          <w:sz w:val="24"/>
          <w:szCs w:val="24"/>
        </w:rPr>
        <w:t>means of tran</w:t>
      </w:r>
      <w:r w:rsidR="00E7175F">
        <w:rPr>
          <w:rFonts w:ascii="Times New Roman" w:hAnsi="Times New Roman" w:cs="Times New Roman"/>
          <w:sz w:val="24"/>
          <w:szCs w:val="24"/>
        </w:rPr>
        <w:t xml:space="preserve">sport back then in </w:t>
      </w:r>
      <w:proofErr w:type="spellStart"/>
      <w:r w:rsidR="00E7175F">
        <w:rPr>
          <w:rFonts w:ascii="Times New Roman" w:hAnsi="Times New Roman" w:cs="Times New Roman"/>
          <w:sz w:val="24"/>
          <w:szCs w:val="24"/>
        </w:rPr>
        <w:t>Ba</w:t>
      </w:r>
      <w:r w:rsidRPr="00E7175F">
        <w:rPr>
          <w:rFonts w:ascii="Times New Roman" w:hAnsi="Times New Roman" w:cs="Times New Roman"/>
          <w:sz w:val="24"/>
          <w:szCs w:val="24"/>
        </w:rPr>
        <w:t>rk</w:t>
      </w:r>
      <w:r w:rsidR="00E7175F">
        <w:rPr>
          <w:rFonts w:ascii="Times New Roman" w:hAnsi="Times New Roman" w:cs="Times New Roman"/>
          <w:sz w:val="24"/>
          <w:szCs w:val="24"/>
        </w:rPr>
        <w:t>ervill</w:t>
      </w:r>
      <w:r w:rsidRPr="00E7175F">
        <w:rPr>
          <w:rFonts w:ascii="Times New Roman" w:hAnsi="Times New Roman" w:cs="Times New Roman"/>
          <w:sz w:val="24"/>
          <w:szCs w:val="24"/>
        </w:rPr>
        <w:t>e</w:t>
      </w:r>
      <w:proofErr w:type="spellEnd"/>
      <w:r w:rsidRPr="00E7175F">
        <w:rPr>
          <w:rFonts w:ascii="Times New Roman" w:hAnsi="Times New Roman" w:cs="Times New Roman"/>
          <w:sz w:val="24"/>
          <w:szCs w:val="24"/>
        </w:rPr>
        <w:t xml:space="preserve"> which included animals and train. Addit</w:t>
      </w:r>
      <w:r w:rsidR="00A11C56" w:rsidRPr="00E7175F">
        <w:rPr>
          <w:rFonts w:ascii="Times New Roman" w:hAnsi="Times New Roman" w:cs="Times New Roman"/>
          <w:sz w:val="24"/>
          <w:szCs w:val="24"/>
        </w:rPr>
        <w:t>ionally, footnote 21</w:t>
      </w:r>
      <w:r w:rsidRPr="00E7175F">
        <w:rPr>
          <w:rFonts w:ascii="Times New Roman" w:hAnsi="Times New Roman" w:cs="Times New Roman"/>
          <w:sz w:val="24"/>
          <w:szCs w:val="24"/>
        </w:rPr>
        <w:t xml:space="preserve"> also quips that women had started owning property where particularly Eliza Ord is a property that was owned by a woman. Citation 56 invokes that goods were transported in late fall, probably when the weather </w:t>
      </w:r>
      <w:r w:rsidRPr="00E7175F">
        <w:rPr>
          <w:rFonts w:ascii="Times New Roman" w:hAnsi="Times New Roman" w:cs="Times New Roman"/>
          <w:sz w:val="24"/>
          <w:szCs w:val="24"/>
        </w:rPr>
        <w:lastRenderedPageBreak/>
        <w:t xml:space="preserve">could allow the transportation. Therefore, the footnotes are vitally important to the body material of the </w:t>
      </w:r>
      <w:r w:rsidR="00A23B65" w:rsidRPr="00E7175F">
        <w:rPr>
          <w:rFonts w:ascii="Times New Roman" w:hAnsi="Times New Roman" w:cs="Times New Roman"/>
          <w:sz w:val="24"/>
          <w:szCs w:val="24"/>
        </w:rPr>
        <w:t xml:space="preserve">article. </w:t>
      </w:r>
    </w:p>
    <w:p w:rsidR="009B3921" w:rsidRPr="00E7175F" w:rsidRDefault="00AB0CD3"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I think all the 24 tables are important to the gist of the article since they exhibit the several goods that are being produced in Berkshire in late 19</w:t>
      </w:r>
      <w:r w:rsidRPr="00E7175F">
        <w:rPr>
          <w:rFonts w:ascii="Times New Roman" w:hAnsi="Times New Roman" w:cs="Times New Roman"/>
          <w:sz w:val="24"/>
          <w:szCs w:val="24"/>
          <w:vertAlign w:val="superscript"/>
        </w:rPr>
        <w:t>th</w:t>
      </w:r>
      <w:r w:rsidRPr="00E7175F">
        <w:rPr>
          <w:rFonts w:ascii="Times New Roman" w:hAnsi="Times New Roman" w:cs="Times New Roman"/>
          <w:sz w:val="24"/>
          <w:szCs w:val="24"/>
        </w:rPr>
        <w:t xml:space="preserve"> century. The tables are also important as they also demonstrate the prices of the goods as at that time hence highlighting the importance of the goods to the then urbanizing areas. Therefore, the importance of the tables in the article cannot be overemphasized. </w:t>
      </w:r>
    </w:p>
    <w:p w:rsidR="009B3921" w:rsidRPr="00E7175F" w:rsidRDefault="009B3921"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 xml:space="preserve">Tables 2 AND 20 </w:t>
      </w:r>
    </w:p>
    <w:p w:rsidR="00AB0CD3" w:rsidRPr="00E7175F" w:rsidRDefault="00AB0CD3"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t xml:space="preserve">The tables also highlight the lifestyles of the people in those towns. For instance, there are prices of alcoholic drinks like brandy </w:t>
      </w:r>
      <w:r w:rsidR="009B3921" w:rsidRPr="00E7175F">
        <w:rPr>
          <w:rFonts w:ascii="Times New Roman" w:hAnsi="Times New Roman" w:cs="Times New Roman"/>
          <w:sz w:val="24"/>
          <w:szCs w:val="24"/>
        </w:rPr>
        <w:t>expressly gives the reader of the article a perspective that people then used to have extra monies to spend on binge drinking</w:t>
      </w:r>
      <w:r w:rsidR="00E7175F" w:rsidRPr="00E7175F">
        <w:rPr>
          <w:rFonts w:ascii="Times New Roman" w:hAnsi="Times New Roman" w:cs="Times New Roman"/>
          <w:sz w:val="24"/>
          <w:szCs w:val="24"/>
        </w:rPr>
        <w:t xml:space="preserve"> (Ramona &amp; Boyle 96)</w:t>
      </w:r>
      <w:r w:rsidR="009B3921" w:rsidRPr="00E7175F">
        <w:rPr>
          <w:rFonts w:ascii="Times New Roman" w:hAnsi="Times New Roman" w:cs="Times New Roman"/>
          <w:sz w:val="24"/>
          <w:szCs w:val="24"/>
        </w:rPr>
        <w:t xml:space="preserve">. I therefore think that items like saws, screw drivers, jackplanes, door locks and even copper rivets are important carpentry items that should note be got rid of table two. In table 20 also, most of the materials listed are important other than horn dressing combs, whiskey and even brandy in working environments. The items are bizarre since one asks themselves whether the requirements are important for work or for ceremonies and parties. </w:t>
      </w:r>
    </w:p>
    <w:p w:rsidR="00E7175F" w:rsidRDefault="00E7175F" w:rsidP="00E7175F">
      <w:pPr>
        <w:spacing w:line="480" w:lineRule="auto"/>
        <w:rPr>
          <w:rFonts w:ascii="Times New Roman" w:hAnsi="Times New Roman" w:cs="Times New Roman"/>
          <w:sz w:val="24"/>
          <w:szCs w:val="24"/>
        </w:rPr>
      </w:pPr>
    </w:p>
    <w:p w:rsidR="00E7175F" w:rsidRDefault="00E7175F" w:rsidP="00E7175F">
      <w:pPr>
        <w:spacing w:line="480" w:lineRule="auto"/>
        <w:rPr>
          <w:rFonts w:ascii="Times New Roman" w:hAnsi="Times New Roman" w:cs="Times New Roman"/>
          <w:sz w:val="24"/>
          <w:szCs w:val="24"/>
        </w:rPr>
      </w:pPr>
    </w:p>
    <w:p w:rsidR="00E7175F" w:rsidRDefault="00E7175F" w:rsidP="00E7175F">
      <w:pPr>
        <w:spacing w:line="480" w:lineRule="auto"/>
        <w:rPr>
          <w:rFonts w:ascii="Times New Roman" w:hAnsi="Times New Roman" w:cs="Times New Roman"/>
          <w:sz w:val="24"/>
          <w:szCs w:val="24"/>
        </w:rPr>
      </w:pPr>
    </w:p>
    <w:p w:rsidR="00E7175F" w:rsidRDefault="00E7175F" w:rsidP="00E7175F">
      <w:pPr>
        <w:spacing w:line="480" w:lineRule="auto"/>
        <w:rPr>
          <w:rFonts w:ascii="Times New Roman" w:hAnsi="Times New Roman" w:cs="Times New Roman"/>
          <w:sz w:val="24"/>
          <w:szCs w:val="24"/>
        </w:rPr>
      </w:pPr>
    </w:p>
    <w:p w:rsidR="00E7175F" w:rsidRDefault="00E7175F" w:rsidP="00E7175F">
      <w:pPr>
        <w:spacing w:line="480" w:lineRule="auto"/>
        <w:rPr>
          <w:rFonts w:ascii="Times New Roman" w:hAnsi="Times New Roman" w:cs="Times New Roman"/>
          <w:sz w:val="24"/>
          <w:szCs w:val="24"/>
        </w:rPr>
      </w:pPr>
    </w:p>
    <w:p w:rsidR="00A23B65" w:rsidRPr="00E7175F" w:rsidRDefault="00A11C56" w:rsidP="00E7175F">
      <w:pPr>
        <w:spacing w:line="480" w:lineRule="auto"/>
        <w:rPr>
          <w:rFonts w:ascii="Times New Roman" w:hAnsi="Times New Roman" w:cs="Times New Roman"/>
          <w:sz w:val="24"/>
          <w:szCs w:val="24"/>
        </w:rPr>
      </w:pPr>
      <w:r w:rsidRPr="00E7175F">
        <w:rPr>
          <w:rFonts w:ascii="Times New Roman" w:hAnsi="Times New Roman" w:cs="Times New Roman"/>
          <w:sz w:val="24"/>
          <w:szCs w:val="24"/>
        </w:rPr>
        <w:lastRenderedPageBreak/>
        <w:t xml:space="preserve">Work Cited </w:t>
      </w:r>
    </w:p>
    <w:p w:rsidR="00A11C56" w:rsidRPr="00E7175F" w:rsidRDefault="00A11C56" w:rsidP="00E7175F">
      <w:pPr>
        <w:spacing w:line="480" w:lineRule="auto"/>
        <w:rPr>
          <w:rFonts w:ascii="Times New Roman" w:hAnsi="Times New Roman" w:cs="Times New Roman"/>
          <w:sz w:val="24"/>
          <w:szCs w:val="24"/>
          <w:lang w:val="en"/>
        </w:rPr>
      </w:pPr>
      <w:r w:rsidRPr="00E7175F">
        <w:rPr>
          <w:rFonts w:ascii="Times New Roman" w:hAnsi="Times New Roman" w:cs="Times New Roman"/>
          <w:sz w:val="24"/>
          <w:szCs w:val="24"/>
          <w:lang w:val="en"/>
        </w:rPr>
        <w:t xml:space="preserve">Ramona Boyle and Richard Mackie. “The Hudson’s Bay Company in </w:t>
      </w:r>
      <w:proofErr w:type="spellStart"/>
      <w:r w:rsidRPr="00E7175F">
        <w:rPr>
          <w:rFonts w:ascii="Times New Roman" w:hAnsi="Times New Roman" w:cs="Times New Roman"/>
          <w:sz w:val="24"/>
          <w:szCs w:val="24"/>
          <w:lang w:val="en"/>
        </w:rPr>
        <w:t>Barkerville</w:t>
      </w:r>
      <w:proofErr w:type="spellEnd"/>
      <w:r w:rsidRPr="00E7175F">
        <w:rPr>
          <w:rFonts w:ascii="Times New Roman" w:hAnsi="Times New Roman" w:cs="Times New Roman"/>
          <w:sz w:val="24"/>
          <w:szCs w:val="24"/>
          <w:lang w:val="en"/>
        </w:rPr>
        <w:t xml:space="preserve">.” </w:t>
      </w:r>
      <w:r w:rsidRPr="00E7175F">
        <w:rPr>
          <w:rFonts w:ascii="Times New Roman" w:hAnsi="Times New Roman" w:cs="Times New Roman"/>
          <w:i/>
          <w:iCs/>
          <w:sz w:val="24"/>
          <w:szCs w:val="24"/>
          <w:lang w:val="en"/>
        </w:rPr>
        <w:t>BC Studies</w:t>
      </w:r>
      <w:r w:rsidRPr="00E7175F">
        <w:rPr>
          <w:rFonts w:ascii="Times New Roman" w:hAnsi="Times New Roman" w:cs="Times New Roman"/>
          <w:sz w:val="24"/>
          <w:szCs w:val="24"/>
          <w:lang w:val="en"/>
        </w:rPr>
        <w:t xml:space="preserve"> 185 (2015): 79-107. </w:t>
      </w:r>
      <w:r w:rsidRPr="00E7175F">
        <w:rPr>
          <w:rFonts w:ascii="Times New Roman" w:hAnsi="Times New Roman" w:cs="Times New Roman"/>
          <w:i/>
          <w:iCs/>
          <w:sz w:val="24"/>
          <w:szCs w:val="24"/>
          <w:lang w:val="en"/>
        </w:rPr>
        <w:t>Academic Search Complete</w:t>
      </w:r>
      <w:r w:rsidRPr="00E7175F">
        <w:rPr>
          <w:rFonts w:ascii="Times New Roman" w:hAnsi="Times New Roman" w:cs="Times New Roman"/>
          <w:sz w:val="24"/>
          <w:szCs w:val="24"/>
          <w:lang w:val="en"/>
        </w:rPr>
        <w:t>. Web.</w:t>
      </w:r>
    </w:p>
    <w:p w:rsidR="00A11C56" w:rsidRPr="00E7175F" w:rsidRDefault="00A11C56" w:rsidP="00E7175F">
      <w:pPr>
        <w:spacing w:line="480" w:lineRule="auto"/>
        <w:rPr>
          <w:rFonts w:ascii="Times New Roman" w:hAnsi="Times New Roman" w:cs="Times New Roman"/>
          <w:sz w:val="24"/>
          <w:szCs w:val="24"/>
          <w:lang w:val="en"/>
        </w:rPr>
      </w:pPr>
    </w:p>
    <w:p w:rsidR="00A11C56" w:rsidRPr="00E7175F" w:rsidRDefault="00A11C56" w:rsidP="00E7175F">
      <w:pPr>
        <w:spacing w:line="480" w:lineRule="auto"/>
        <w:rPr>
          <w:rFonts w:ascii="Times New Roman" w:hAnsi="Times New Roman" w:cs="Times New Roman"/>
          <w:sz w:val="24"/>
          <w:szCs w:val="24"/>
        </w:rPr>
      </w:pPr>
    </w:p>
    <w:sectPr w:rsidR="00A11C56" w:rsidRPr="00E717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F98" w:rsidRDefault="00231F98" w:rsidP="00E7175F">
      <w:pPr>
        <w:spacing w:after="0" w:line="240" w:lineRule="auto"/>
      </w:pPr>
      <w:r>
        <w:separator/>
      </w:r>
    </w:p>
  </w:endnote>
  <w:endnote w:type="continuationSeparator" w:id="0">
    <w:p w:rsidR="00231F98" w:rsidRDefault="00231F98" w:rsidP="00E71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F98" w:rsidRDefault="00231F98" w:rsidP="00E7175F">
      <w:pPr>
        <w:spacing w:after="0" w:line="240" w:lineRule="auto"/>
      </w:pPr>
      <w:r>
        <w:separator/>
      </w:r>
    </w:p>
  </w:footnote>
  <w:footnote w:type="continuationSeparator" w:id="0">
    <w:p w:rsidR="00231F98" w:rsidRDefault="00231F98" w:rsidP="00E71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37799354"/>
      <w:docPartObj>
        <w:docPartGallery w:val="Page Numbers (Top of Page)"/>
        <w:docPartUnique/>
      </w:docPartObj>
    </w:sdtPr>
    <w:sdtEndPr>
      <w:rPr>
        <w:noProof/>
      </w:rPr>
    </w:sdtEndPr>
    <w:sdtContent>
      <w:p w:rsidR="00E7175F" w:rsidRPr="00E7175F" w:rsidRDefault="00E7175F">
        <w:pPr>
          <w:pStyle w:val="Header"/>
          <w:jc w:val="right"/>
          <w:rPr>
            <w:rFonts w:ascii="Times New Roman" w:hAnsi="Times New Roman" w:cs="Times New Roman"/>
            <w:sz w:val="24"/>
            <w:szCs w:val="24"/>
          </w:rPr>
        </w:pPr>
        <w:r w:rsidRPr="00E7175F">
          <w:rPr>
            <w:rFonts w:ascii="Times New Roman" w:hAnsi="Times New Roman" w:cs="Times New Roman"/>
            <w:sz w:val="24"/>
            <w:szCs w:val="24"/>
          </w:rPr>
          <w:t>Surname</w:t>
        </w:r>
        <w:r w:rsidRPr="00E7175F">
          <w:rPr>
            <w:rFonts w:ascii="Times New Roman" w:hAnsi="Times New Roman" w:cs="Times New Roman"/>
            <w:sz w:val="24"/>
            <w:szCs w:val="24"/>
          </w:rPr>
          <w:fldChar w:fldCharType="begin"/>
        </w:r>
        <w:r w:rsidRPr="00E7175F">
          <w:rPr>
            <w:rFonts w:ascii="Times New Roman" w:hAnsi="Times New Roman" w:cs="Times New Roman"/>
            <w:sz w:val="24"/>
            <w:szCs w:val="24"/>
          </w:rPr>
          <w:instrText xml:space="preserve"> PAGE   \* MERGEFORMAT </w:instrText>
        </w:r>
        <w:r w:rsidRPr="00E7175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7175F">
          <w:rPr>
            <w:rFonts w:ascii="Times New Roman" w:hAnsi="Times New Roman" w:cs="Times New Roman"/>
            <w:noProof/>
            <w:sz w:val="24"/>
            <w:szCs w:val="24"/>
          </w:rPr>
          <w:fldChar w:fldCharType="end"/>
        </w:r>
      </w:p>
    </w:sdtContent>
  </w:sdt>
  <w:p w:rsidR="00E7175F" w:rsidRDefault="00E717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zMDCxsDQyNzQ3NTJT0lEKTi0uzszPAykwrAUAhShMUiwAAAA="/>
  </w:docVars>
  <w:rsids>
    <w:rsidRoot w:val="00AB0CD3"/>
    <w:rsid w:val="000F6095"/>
    <w:rsid w:val="00231F98"/>
    <w:rsid w:val="0082750E"/>
    <w:rsid w:val="009B3921"/>
    <w:rsid w:val="00A11C56"/>
    <w:rsid w:val="00A23B65"/>
    <w:rsid w:val="00AB0CD3"/>
    <w:rsid w:val="00DD2375"/>
    <w:rsid w:val="00DF1919"/>
    <w:rsid w:val="00E71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18FE5D-34BC-4106-8CB6-72063380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75F"/>
  </w:style>
  <w:style w:type="paragraph" w:styleId="Footer">
    <w:name w:val="footer"/>
    <w:basedOn w:val="Normal"/>
    <w:link w:val="FooterChar"/>
    <w:uiPriority w:val="99"/>
    <w:unhideWhenUsed/>
    <w:rsid w:val="00E71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2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2018-11-13T16:41:00Z</dcterms:created>
  <dcterms:modified xsi:type="dcterms:W3CDTF">2018-11-13T16:41:00Z</dcterms:modified>
</cp:coreProperties>
</file>